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4C0290" w14:paraId="1C2EB73B" w14:textId="77777777" w:rsidTr="004C0290">
        <w:trPr>
          <w:trHeight w:val="13230"/>
        </w:trPr>
        <w:tc>
          <w:tcPr>
            <w:tcW w:w="9345" w:type="dxa"/>
          </w:tcPr>
          <w:p w14:paraId="201E3972" w14:textId="77777777" w:rsidR="004C0290" w:rsidRDefault="004C0290" w:rsidP="004C02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C279B7" wp14:editId="72C44030">
                  <wp:extent cx="790575" cy="746654"/>
                  <wp:effectExtent l="0" t="0" r="0" b="0"/>
                  <wp:docPr id="2" name="Imagem 2" descr="http://www.receita.fazenda.gov.br/PessoaJuridica/CNPJ/cnpjreva/images/brasa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ceita.fazenda.gov.br/PessoaJuridica/CNPJ/cnpjreva/images/brasa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E9BF0" w14:textId="0C855FDB" w:rsidR="004C0290" w:rsidRDefault="004C0290" w:rsidP="004C0290">
            <w:pPr>
              <w:jc w:val="center"/>
              <w:rPr>
                <w:b/>
              </w:rPr>
            </w:pPr>
            <w:r w:rsidRPr="00234432">
              <w:rPr>
                <w:b/>
              </w:rPr>
              <w:t xml:space="preserve">CONSELHO NACIONAL </w:t>
            </w:r>
            <w:r>
              <w:rPr>
                <w:b/>
              </w:rPr>
              <w:t>D</w:t>
            </w:r>
            <w:r w:rsidRPr="00234432">
              <w:rPr>
                <w:b/>
              </w:rPr>
              <w:t>E EDUCAÇÃO</w:t>
            </w:r>
          </w:p>
          <w:p w14:paraId="740111A3" w14:textId="77777777" w:rsidR="004C0290" w:rsidRDefault="004C0290" w:rsidP="004C0290">
            <w:pPr>
              <w:jc w:val="center"/>
              <w:rPr>
                <w:b/>
              </w:rPr>
            </w:pPr>
            <w:r>
              <w:rPr>
                <w:b/>
              </w:rPr>
              <w:t>CÂMARA DE EDUCAÇÃO SUPERIOR</w:t>
            </w:r>
          </w:p>
          <w:p w14:paraId="680E970B" w14:textId="77777777" w:rsidR="002A6312" w:rsidRDefault="002A6312" w:rsidP="004C0290">
            <w:pPr>
              <w:jc w:val="center"/>
              <w:rPr>
                <w:b/>
              </w:rPr>
            </w:pPr>
          </w:p>
          <w:p w14:paraId="12C57284" w14:textId="77777777" w:rsidR="002A6312" w:rsidRDefault="00FD7EC9" w:rsidP="002A6312">
            <w:pPr>
              <w:jc w:val="center"/>
              <w:rPr>
                <w:b/>
              </w:rPr>
            </w:pPr>
            <w:r>
              <w:rPr>
                <w:b/>
              </w:rPr>
              <w:t>AUDIÊNCIA PÚBLICA</w:t>
            </w:r>
          </w:p>
          <w:p w14:paraId="3BC6EC8C" w14:textId="77777777" w:rsidR="00FD7EC9" w:rsidRDefault="00FD7EC9" w:rsidP="002A6312">
            <w:pPr>
              <w:jc w:val="center"/>
              <w:rPr>
                <w:b/>
              </w:rPr>
            </w:pPr>
            <w:r>
              <w:rPr>
                <w:b/>
              </w:rPr>
              <w:t xml:space="preserve">Marco Regulatório dos Cursos de Pós-graduação </w:t>
            </w:r>
            <w:r w:rsidRPr="00FD7EC9">
              <w:rPr>
                <w:b/>
                <w:i/>
              </w:rPr>
              <w:t>Lato Sensu</w:t>
            </w:r>
            <w:r>
              <w:rPr>
                <w:b/>
              </w:rPr>
              <w:t xml:space="preserve"> Especialização</w:t>
            </w:r>
          </w:p>
          <w:p w14:paraId="596D9258" w14:textId="77777777" w:rsidR="004C0290" w:rsidRDefault="004C0290" w:rsidP="004C0290">
            <w:pPr>
              <w:ind w:left="291"/>
            </w:pPr>
          </w:p>
          <w:p w14:paraId="5B9431DA" w14:textId="77777777" w:rsidR="0014434B" w:rsidRDefault="0014434B" w:rsidP="0014434B">
            <w:pPr>
              <w:ind w:left="291"/>
              <w:jc w:val="center"/>
            </w:pPr>
            <w:r>
              <w:t>FORMULÁRIO PARA SUGESTÕES E CONTRIBUIÇÕES</w:t>
            </w:r>
          </w:p>
          <w:p w14:paraId="5F496A03" w14:textId="77777777" w:rsidR="0014434B" w:rsidRDefault="0014434B" w:rsidP="0014434B">
            <w:pPr>
              <w:ind w:left="291"/>
            </w:pPr>
          </w:p>
          <w:p w14:paraId="1E74CB8F" w14:textId="5AFB9C85" w:rsidR="0014434B" w:rsidRPr="0001602A" w:rsidRDefault="0014434B" w:rsidP="0014434B">
            <w:pPr>
              <w:ind w:left="291"/>
            </w:pPr>
            <w:r w:rsidRPr="0001602A">
              <w:rPr>
                <w:b/>
              </w:rPr>
              <w:t>NOME</w:t>
            </w:r>
            <w:r w:rsidRPr="0001602A">
              <w:t>:</w:t>
            </w:r>
            <w:proofErr w:type="gramStart"/>
            <w:r w:rsidR="007414B8" w:rsidRPr="0001602A">
              <w:t xml:space="preserve">  </w:t>
            </w:r>
            <w:proofErr w:type="gramEnd"/>
            <w:r w:rsidR="007414B8" w:rsidRPr="0001602A">
              <w:t xml:space="preserve">Conselho Federal de Psicologia </w:t>
            </w:r>
          </w:p>
          <w:p w14:paraId="01B1F7F5" w14:textId="77777777" w:rsidR="00FD7EC9" w:rsidRPr="0001602A" w:rsidRDefault="00FD7EC9" w:rsidP="0014434B">
            <w:pPr>
              <w:ind w:left="291"/>
            </w:pPr>
          </w:p>
          <w:p w14:paraId="23821EAA" w14:textId="115E09B6" w:rsidR="0014434B" w:rsidRPr="0001602A" w:rsidRDefault="0014434B" w:rsidP="0014434B">
            <w:pPr>
              <w:ind w:left="291"/>
            </w:pPr>
            <w:r w:rsidRPr="0001602A">
              <w:rPr>
                <w:b/>
              </w:rPr>
              <w:t>IES/REPRESENTAÇÃO</w:t>
            </w:r>
            <w:r w:rsidRPr="0001602A">
              <w:t xml:space="preserve">: </w:t>
            </w:r>
            <w:r w:rsidR="007414B8" w:rsidRPr="0001602A">
              <w:t>Meire Viana (Conselheira)</w:t>
            </w:r>
          </w:p>
          <w:p w14:paraId="3194E874" w14:textId="77777777" w:rsidR="007414B8" w:rsidRPr="0001602A" w:rsidRDefault="007414B8" w:rsidP="0014434B">
            <w:pPr>
              <w:ind w:left="291"/>
            </w:pPr>
          </w:p>
          <w:p w14:paraId="101860D1" w14:textId="77777777" w:rsidR="007414B8" w:rsidRPr="0001602A" w:rsidRDefault="007414B8" w:rsidP="0014434B">
            <w:pPr>
              <w:ind w:left="291"/>
            </w:pPr>
          </w:p>
          <w:p w14:paraId="1246DAEA" w14:textId="1011164D" w:rsidR="007414B8" w:rsidRPr="0001602A" w:rsidRDefault="0001602A" w:rsidP="0001602A">
            <w:pPr>
              <w:ind w:left="221" w:hanging="142"/>
              <w:jc w:val="both"/>
            </w:pPr>
            <w:r>
              <w:t xml:space="preserve">  </w:t>
            </w:r>
            <w:r w:rsidR="006E2614" w:rsidRPr="0001602A">
              <w:t xml:space="preserve">1. </w:t>
            </w:r>
            <w:r w:rsidR="00AA71FF" w:rsidRPr="0001602A">
              <w:t xml:space="preserve">        </w:t>
            </w:r>
            <w:r w:rsidR="006A5FAE" w:rsidRPr="0001602A">
              <w:t xml:space="preserve"> </w:t>
            </w:r>
            <w:r w:rsidR="007414B8" w:rsidRPr="0001602A">
              <w:t xml:space="preserve">O Conselho Federal de Psicologia (CFP) concorda com a importância de regulação sobre a oferta e qualidade dos cursos de especialização ofertados no Brasil, entretanto, considerando que o Título de Especialista oferecido pelo CFP trata-se de </w:t>
            </w:r>
            <w:r w:rsidR="007414B8" w:rsidRPr="0001602A">
              <w:rPr>
                <w:b/>
              </w:rPr>
              <w:t xml:space="preserve">Especialização Profissional </w:t>
            </w:r>
            <w:r w:rsidR="007414B8" w:rsidRPr="0001602A">
              <w:t xml:space="preserve">e não </w:t>
            </w:r>
            <w:r w:rsidR="007414B8" w:rsidRPr="0001602A">
              <w:rPr>
                <w:b/>
              </w:rPr>
              <w:t>Especialização Acadêmica</w:t>
            </w:r>
            <w:proofErr w:type="gramStart"/>
            <w:r w:rsidR="007414B8" w:rsidRPr="0001602A">
              <w:t>, entendemos</w:t>
            </w:r>
            <w:proofErr w:type="gramEnd"/>
            <w:r w:rsidR="007414B8" w:rsidRPr="0001602A">
              <w:t xml:space="preserve"> ser de suma importância a disponibilização de prazo para, conjuntamente com as instituições formadoras atualmente credenciadas, buscarmos um melhor encaminhamento e solução. </w:t>
            </w:r>
          </w:p>
          <w:p w14:paraId="5E3DA935" w14:textId="77777777" w:rsidR="006A5FAE" w:rsidRPr="0001602A" w:rsidRDefault="006A5FAE" w:rsidP="0001602A">
            <w:pPr>
              <w:ind w:left="221" w:hanging="142"/>
              <w:jc w:val="both"/>
            </w:pPr>
          </w:p>
          <w:p w14:paraId="3BEC24CC" w14:textId="7A9138D3" w:rsidR="006E2614" w:rsidRPr="0001602A" w:rsidRDefault="0001602A" w:rsidP="0001602A">
            <w:pPr>
              <w:ind w:left="221" w:hanging="142"/>
              <w:jc w:val="both"/>
            </w:pPr>
            <w:r>
              <w:t xml:space="preserve">  </w:t>
            </w:r>
            <w:r w:rsidR="006E2614" w:rsidRPr="0001602A">
              <w:t xml:space="preserve">2. </w:t>
            </w:r>
            <w:r w:rsidR="006A5FAE" w:rsidRPr="0001602A">
              <w:t xml:space="preserve">       </w:t>
            </w:r>
            <w:r w:rsidR="006E2614" w:rsidRPr="0001602A">
              <w:t xml:space="preserve">A concessão por meio de </w:t>
            </w:r>
            <w:r w:rsidR="006E2614" w:rsidRPr="0001602A">
              <w:rPr>
                <w:b/>
              </w:rPr>
              <w:t xml:space="preserve">credenciamento especial </w:t>
            </w:r>
            <w:r w:rsidR="006E2614" w:rsidRPr="0001602A">
              <w:t xml:space="preserve">está </w:t>
            </w:r>
            <w:proofErr w:type="gramStart"/>
            <w:r w:rsidR="006E2614" w:rsidRPr="0001602A">
              <w:t>limitado</w:t>
            </w:r>
            <w:proofErr w:type="gramEnd"/>
            <w:r w:rsidR="006E2614" w:rsidRPr="0001602A">
              <w:t xml:space="preserve"> na minuta da Resolução do marco regulatório dos cursos de pós-graduação </w:t>
            </w:r>
            <w:r w:rsidR="006E2614" w:rsidRPr="0001602A">
              <w:rPr>
                <w:i/>
              </w:rPr>
              <w:t>lato sensu</w:t>
            </w:r>
            <w:r w:rsidR="006E2614" w:rsidRPr="0001602A">
              <w:t xml:space="preserve"> especialização: o artigo segundo §4 menciona apenas  instituições de pesquisa científica ou tecnológica, sendo necessária a inclusão de instituições de formação de renomado reconhecimento social, entretanto, não se enquadra como IES ou instituto de pesquisa, como é o caso, por exemplo, do Instituto Sedes </w:t>
            </w:r>
            <w:proofErr w:type="spellStart"/>
            <w:r w:rsidR="006E2614" w:rsidRPr="0001602A">
              <w:t>Sapientiae</w:t>
            </w:r>
            <w:proofErr w:type="spellEnd"/>
            <w:r w:rsidR="006E2614" w:rsidRPr="0001602A">
              <w:t xml:space="preserve"> (São Paulo), que desde 1978 atua nesse campo, assim como diversos outros institutos que se dedicam à formação profissional</w:t>
            </w:r>
            <w:r w:rsidR="006A5FAE" w:rsidRPr="0001602A">
              <w:t xml:space="preserve"> de excelência na área da Psicologia. </w:t>
            </w:r>
            <w:r w:rsidR="006E2614" w:rsidRPr="0001602A">
              <w:t xml:space="preserve">   </w:t>
            </w:r>
          </w:p>
          <w:p w14:paraId="38A66C87" w14:textId="77777777" w:rsidR="007414B8" w:rsidRPr="0001602A" w:rsidRDefault="007414B8" w:rsidP="0001602A">
            <w:pPr>
              <w:ind w:left="221" w:hanging="142"/>
              <w:rPr>
                <w:b/>
              </w:rPr>
            </w:pPr>
          </w:p>
          <w:p w14:paraId="54042E86" w14:textId="778C8B7B" w:rsidR="006A5FAE" w:rsidRPr="0001602A" w:rsidRDefault="006A5FAE" w:rsidP="002B08BA">
            <w:pPr>
              <w:ind w:left="170"/>
              <w:jc w:val="both"/>
            </w:pPr>
            <w:r w:rsidRPr="0001602A">
              <w:t>3.           No artigo 7º da minuta da Resolução, quando prevê a carga horária mínima de 450 horas para os cursos de especialização, faz-se necessário esclarecer se na alínea IV “previsão de estudo individual ou de grupo, com duração mínima de 60 (sessenta) horas” estariam incluídas experiências práticas, fundamentais para o que nomeamos especialização profissional.</w:t>
            </w:r>
          </w:p>
          <w:p w14:paraId="65CFDFB9" w14:textId="77777777" w:rsidR="006A5FAE" w:rsidRPr="0001602A" w:rsidRDefault="006A5FAE" w:rsidP="002B08BA">
            <w:pPr>
              <w:ind w:left="170"/>
              <w:jc w:val="both"/>
            </w:pPr>
          </w:p>
          <w:p w14:paraId="72C6A7BA" w14:textId="303DE0FA" w:rsidR="006A5FAE" w:rsidRPr="0001602A" w:rsidRDefault="008A1B26" w:rsidP="002B08BA">
            <w:pPr>
              <w:ind w:left="170"/>
              <w:jc w:val="both"/>
            </w:pPr>
            <w:r w:rsidRPr="0001602A">
              <w:t xml:space="preserve">4.           No Artigo 13º, que considera a possibilidade de estudante de curso de pós-graduação </w:t>
            </w:r>
            <w:r w:rsidRPr="0001602A">
              <w:rPr>
                <w:i/>
              </w:rPr>
              <w:t>stricto sensu</w:t>
            </w:r>
            <w:r w:rsidRPr="0001602A">
              <w:t xml:space="preserve"> que não defender a dissertação de Mestrado ou a tese de Doutorado fazer jus a título de especialista, haveria a defesa de monografia? Em que condições?</w:t>
            </w:r>
          </w:p>
          <w:p w14:paraId="63F6AC6F" w14:textId="77777777" w:rsidR="00045ED2" w:rsidRPr="0001602A" w:rsidRDefault="00045ED2" w:rsidP="002B08BA">
            <w:pPr>
              <w:ind w:left="170"/>
              <w:jc w:val="both"/>
            </w:pPr>
          </w:p>
          <w:p w14:paraId="0941FD90" w14:textId="4BE684FB" w:rsidR="00045ED2" w:rsidRPr="0001602A" w:rsidRDefault="001C31F8" w:rsidP="002B08BA">
            <w:pPr>
              <w:ind w:left="170"/>
              <w:jc w:val="both"/>
            </w:pPr>
            <w:r w:rsidRPr="0001602A">
              <w:t xml:space="preserve">5.       </w:t>
            </w:r>
            <w:r w:rsidR="00045ED2" w:rsidRPr="0001602A">
              <w:t>Outras contribuições r</w:t>
            </w:r>
            <w:r w:rsidRPr="0001602A">
              <w:t>ecebidas de instituições formadoras</w:t>
            </w:r>
            <w:r w:rsidR="00045ED2" w:rsidRPr="0001602A">
              <w:t xml:space="preserve"> </w:t>
            </w:r>
            <w:r w:rsidR="00F935F3">
              <w:t xml:space="preserve">credenciadas junto ao CFP para oferta de cursos de especialização </w:t>
            </w:r>
            <w:r w:rsidR="00045ED2" w:rsidRPr="0001602A">
              <w:t>no campo da Psicologia, passí</w:t>
            </w:r>
            <w:bookmarkStart w:id="0" w:name="_GoBack"/>
            <w:bookmarkEnd w:id="0"/>
            <w:r w:rsidR="00045ED2" w:rsidRPr="0001602A">
              <w:t>veis de avaliação mais detalhada:</w:t>
            </w:r>
          </w:p>
          <w:p w14:paraId="1187A229" w14:textId="77777777" w:rsidR="00045ED2" w:rsidRPr="0001602A" w:rsidRDefault="00045ED2" w:rsidP="00045ED2">
            <w:pPr>
              <w:spacing w:line="360" w:lineRule="auto"/>
              <w:jc w:val="both"/>
              <w:rPr>
                <w:b/>
              </w:rPr>
            </w:pPr>
          </w:p>
          <w:p w14:paraId="4FEDDEBC" w14:textId="7FDF8668" w:rsidR="007414B8" w:rsidRPr="0001602A" w:rsidRDefault="007414B8" w:rsidP="00045ED2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02A">
              <w:rPr>
                <w:rFonts w:ascii="Times New Roman" w:hAnsi="Times New Roman" w:cs="Times New Roman"/>
                <w:sz w:val="24"/>
                <w:szCs w:val="24"/>
              </w:rPr>
              <w:t>INSTITUTO FERNANDO PESSOA</w:t>
            </w:r>
          </w:p>
          <w:p w14:paraId="1EA45712" w14:textId="2969560B" w:rsidR="007414B8" w:rsidRPr="0001602A" w:rsidRDefault="007414B8" w:rsidP="00A867B7">
            <w:pPr>
              <w:pStyle w:val="PargrafodaLista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posição do Instituto é a de que os Conselhos Federais fossem mantidos como Órgãos credenciadores, fiscalizadores e </w:t>
            </w:r>
            <w:proofErr w:type="spellStart"/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revalidadores</w:t>
            </w:r>
            <w:proofErr w:type="spellEnd"/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habilitação para Cursos de Pós Gra</w:t>
            </w:r>
            <w:r w:rsidR="00A867B7"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duação Latu Sensu, considerando que os Conselhos são entes autárquicos de fé pública.</w:t>
            </w:r>
          </w:p>
          <w:p w14:paraId="0904F290" w14:textId="77777777" w:rsidR="007414B8" w:rsidRPr="0001602A" w:rsidRDefault="007414B8" w:rsidP="007414B8">
            <w:pPr>
              <w:pStyle w:val="PargrafodaLista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903A551" w14:textId="77777777" w:rsidR="00A867B7" w:rsidRPr="0001602A" w:rsidRDefault="00A867B7" w:rsidP="007414B8">
            <w:pPr>
              <w:pStyle w:val="PargrafodaLista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16BAEA" w14:textId="77777777" w:rsidR="00A867B7" w:rsidRPr="0001602A" w:rsidRDefault="00A867B7" w:rsidP="007414B8">
            <w:pPr>
              <w:pStyle w:val="PargrafodaLista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DDA4532" w14:textId="23329AD3" w:rsidR="007414B8" w:rsidRPr="0001602A" w:rsidRDefault="007414B8" w:rsidP="00045ED2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02A">
              <w:rPr>
                <w:rFonts w:ascii="Times New Roman" w:hAnsi="Times New Roman" w:cs="Times New Roman"/>
                <w:sz w:val="24"/>
                <w:szCs w:val="24"/>
              </w:rPr>
              <w:t xml:space="preserve">INSTITUTO SEDES SAPIENTIAE </w:t>
            </w:r>
          </w:p>
          <w:p w14:paraId="0BC67372" w14:textId="31F682C6" w:rsidR="007414B8" w:rsidRPr="0001602A" w:rsidRDefault="007414B8" w:rsidP="00A867B7">
            <w:pPr>
              <w:pStyle w:val="PargrafodaLista"/>
              <w:spacing w:after="0" w:line="360" w:lineRule="auto"/>
              <w:ind w:left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Endossamos a proposta do Conselho no sentido de se viabilizar um tempo maior para discussão de alternativas que não constam no documento proposto como referência para a regulação dos cursos de pós-graduação Lato Sensu Especialização.</w:t>
            </w:r>
            <w:r w:rsidR="00A867B7"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a proposta de regulação possa incluir, como uma das alternativas, o reconhecimento de instituições que, apesar de não vinculadas ao MEC, tem uma história amplamente reconhecida na formação de especialistas e </w:t>
            </w:r>
            <w:proofErr w:type="spellStart"/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</w:t>
            </w:r>
            <w:proofErr w:type="spellEnd"/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graduandos lato sensu</w:t>
            </w:r>
            <w:r w:rsidR="00A867B7"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2D69E3FF" w14:textId="77777777" w:rsidR="00A867B7" w:rsidRPr="0001602A" w:rsidRDefault="00A867B7" w:rsidP="00A867B7">
            <w:pPr>
              <w:pStyle w:val="PargrafodaLista"/>
              <w:spacing w:after="0" w:line="360" w:lineRule="auto"/>
              <w:ind w:left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478147" w14:textId="52EF17F5" w:rsidR="007414B8" w:rsidRPr="0001602A" w:rsidRDefault="007414B8" w:rsidP="00045ED2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IEPP – INSTITUTO DE ENSINO E PESQUISA EM PSICOTERAPIA</w:t>
            </w:r>
          </w:p>
          <w:p w14:paraId="116A1019" w14:textId="6ACBE46F" w:rsidR="007414B8" w:rsidRPr="0001602A" w:rsidRDefault="00A867B7" w:rsidP="00A867B7">
            <w:pPr>
              <w:pStyle w:val="PargrafodaList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Manutenção do título de especialista, considerando </w:t>
            </w:r>
            <w:r w:rsidR="007414B8"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exista</w:t>
            </w:r>
            <w:r w:rsidR="007414B8"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 órgão regulador e fiscalizador para que se mantenha a qualidade mínima nas diversas instituições, independentemente de ser ligado ao MEC ou a outro órgão, desde que exijam condições possíveis e cabíveis, não atrelando à ligação com universidades.</w:t>
            </w:r>
          </w:p>
          <w:p w14:paraId="4C464C4D" w14:textId="77777777" w:rsidR="007414B8" w:rsidRPr="0001602A" w:rsidRDefault="007414B8" w:rsidP="007414B8">
            <w:pPr>
              <w:pStyle w:val="PargrafodaLista"/>
              <w:spacing w:after="0" w:line="36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A081E" w14:textId="12FF9D67" w:rsidR="007414B8" w:rsidRPr="0001602A" w:rsidRDefault="007414B8" w:rsidP="00045ED2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60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INSTITUTO GESTALT DE SÃO PAULO</w:t>
            </w:r>
          </w:p>
          <w:p w14:paraId="54FB3D8D" w14:textId="77777777" w:rsidR="00D6590A" w:rsidRPr="0001602A" w:rsidRDefault="00A867B7" w:rsidP="00C12FFC">
            <w:pPr>
              <w:spacing w:line="360" w:lineRule="auto"/>
              <w:ind w:left="720"/>
              <w:jc w:val="both"/>
            </w:pPr>
            <w:r w:rsidRPr="0001602A">
              <w:t>Reconhece o marco regulatório para pós-graduação lato sensu, que</w:t>
            </w:r>
            <w:r w:rsidR="007414B8" w:rsidRPr="0001602A">
              <w:t xml:space="preserve"> cria uma eficiente proteção às universidades e aos centros universitários, que ficariam com a exclusividade da oferta desse tipo de curso, inviabilizando os tantos cursos de especialização em psicologia existentes no Brasil e reconhecidos pelo CFP. </w:t>
            </w:r>
            <w:r w:rsidR="00D6590A" w:rsidRPr="0001602A">
              <w:t xml:space="preserve">Defende, assim, a manutenção do título de especialista que possa ser reconhecido através de outras instituições formadoras, não apenas as IES.  </w:t>
            </w:r>
          </w:p>
          <w:p w14:paraId="3C7C0E63" w14:textId="77777777" w:rsidR="00D6590A" w:rsidRPr="0001602A" w:rsidRDefault="00D6590A" w:rsidP="00D6590A">
            <w:pPr>
              <w:spacing w:line="360" w:lineRule="auto"/>
              <w:ind w:left="720"/>
            </w:pPr>
          </w:p>
          <w:p w14:paraId="6FB196A5" w14:textId="14E5ED8A" w:rsidR="007414B8" w:rsidRPr="0001602A" w:rsidRDefault="007414B8" w:rsidP="00D6590A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2A">
              <w:rPr>
                <w:rFonts w:ascii="Times New Roman" w:hAnsi="Times New Roman" w:cs="Times New Roman"/>
                <w:sz w:val="24"/>
                <w:szCs w:val="24"/>
              </w:rPr>
              <w:t>INSTITUTO MULLER-GRANZOTTO DE PSICOLOGIA CLÍNICA GESTÁLTICA</w:t>
            </w:r>
          </w:p>
          <w:p w14:paraId="539B4FB2" w14:textId="6133820D" w:rsidR="00C12FFC" w:rsidRPr="0001602A" w:rsidRDefault="007414B8" w:rsidP="00C12FFC">
            <w:pPr>
              <w:spacing w:line="360" w:lineRule="auto"/>
              <w:ind w:left="291"/>
              <w:jc w:val="both"/>
            </w:pPr>
            <w:r w:rsidRPr="0001602A">
              <w:t xml:space="preserve">   Pensamos que o CFP deva buscar um acordo com o MEC para que os cursos ora </w:t>
            </w:r>
            <w:r w:rsidR="0001602A">
              <w:t xml:space="preserve">    </w:t>
            </w:r>
            <w:r w:rsidRPr="0001602A">
              <w:t>credenciados possam receber o reconhecimento do MEC e que as instituições que os ministram possam ter a chance de se credenciar no MEC como entidades especiais já que não se encaixam no sistema das IES.</w:t>
            </w:r>
          </w:p>
          <w:p w14:paraId="162DD555" w14:textId="77777777" w:rsidR="00C12FFC" w:rsidRPr="0001602A" w:rsidRDefault="00C12FFC" w:rsidP="00C12FFC">
            <w:pPr>
              <w:spacing w:line="360" w:lineRule="auto"/>
              <w:ind w:left="291"/>
              <w:jc w:val="both"/>
            </w:pPr>
          </w:p>
          <w:p w14:paraId="0CB8A653" w14:textId="77777777" w:rsidR="0001602A" w:rsidRPr="0001602A" w:rsidRDefault="00045ED2" w:rsidP="00C12FFC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02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14B8" w:rsidRPr="0001602A">
              <w:rPr>
                <w:rFonts w:ascii="Times New Roman" w:hAnsi="Times New Roman" w:cs="Times New Roman"/>
                <w:sz w:val="24"/>
                <w:szCs w:val="24"/>
              </w:rPr>
              <w:t xml:space="preserve">A ESTUDOS </w:t>
            </w:r>
            <w:r w:rsidR="00C12FFC" w:rsidRPr="0001602A">
              <w:rPr>
                <w:rFonts w:ascii="Times New Roman" w:hAnsi="Times New Roman" w:cs="Times New Roman"/>
                <w:sz w:val="24"/>
                <w:szCs w:val="24"/>
              </w:rPr>
              <w:t xml:space="preserve">AVANÇADOS </w:t>
            </w:r>
          </w:p>
          <w:p w14:paraId="753850EC" w14:textId="22D16917" w:rsidR="00C12FFC" w:rsidRPr="0001602A" w:rsidRDefault="00C12FFC" w:rsidP="0001602A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602A">
              <w:rPr>
                <w:rFonts w:ascii="Times New Roman" w:hAnsi="Times New Roman" w:cs="Times New Roman"/>
                <w:sz w:val="24"/>
                <w:szCs w:val="24"/>
              </w:rPr>
              <w:t xml:space="preserve">Sugere que </w:t>
            </w:r>
            <w:r w:rsidRPr="00016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seja criada a nomenclatura de “Titulo de Aperfeiçoamento Profissional” para os cursos ministrados por instituições outras que não os IES, defendendo que os mesmos prossigam com um nível mais exigente de </w:t>
            </w:r>
            <w:proofErr w:type="gramStart"/>
            <w:r w:rsidRPr="00016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otimização</w:t>
            </w:r>
            <w:proofErr w:type="gramEnd"/>
            <w:r w:rsidRPr="00016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 exercício profissional. </w:t>
            </w:r>
          </w:p>
          <w:p w14:paraId="472E23A4" w14:textId="77777777" w:rsidR="007414B8" w:rsidRPr="0001602A" w:rsidRDefault="007414B8" w:rsidP="007414B8">
            <w:pPr>
              <w:spacing w:line="360" w:lineRule="auto"/>
            </w:pPr>
          </w:p>
          <w:p w14:paraId="171EE119" w14:textId="7739A71B" w:rsidR="007414B8" w:rsidRPr="0001602A" w:rsidRDefault="007414B8" w:rsidP="00C12FFC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02A">
              <w:rPr>
                <w:rFonts w:ascii="Times New Roman" w:hAnsi="Times New Roman" w:cs="Times New Roman"/>
                <w:sz w:val="24"/>
                <w:szCs w:val="24"/>
              </w:rPr>
              <w:t>SERVIÇO DE PSICOLOGIA INCOR-HCFMUSP</w:t>
            </w:r>
          </w:p>
          <w:p w14:paraId="15A5B65E" w14:textId="40672758" w:rsidR="007414B8" w:rsidRPr="0001602A" w:rsidRDefault="007414B8" w:rsidP="00C12FFC">
            <w:pPr>
              <w:pStyle w:val="PargrafodaLista"/>
              <w:tabs>
                <w:tab w:val="left" w:pos="836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602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Os cursos de especialização </w:t>
            </w:r>
            <w:r w:rsidRPr="0001602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lato sensu</w:t>
            </w:r>
            <w:r w:rsidRPr="0001602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oferecidos pelo Serviço de Psicologia do Instituto do Coração do Hospital das Clínicas da Faculdade de Medicina da Universidade de São Paulo (</w:t>
            </w:r>
            <w:proofErr w:type="gramStart"/>
            <w:r w:rsidRPr="0001602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InCor</w:t>
            </w:r>
            <w:proofErr w:type="gramEnd"/>
            <w:r w:rsidRPr="0001602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-HCFMUSP) estão </w:t>
            </w:r>
            <w:r w:rsidR="00C12FFC" w:rsidRPr="0001602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simultaneamente credenciados junto ao CFP e ao Conselho Estadual de Educação, ressaltando que o CFP mantém critérios mais exigentes, fazendo um acompanhamento a cada três anos. Ressaltando ainda a necessidade de compreensão da</w:t>
            </w:r>
            <w:proofErr w:type="gramStart"/>
            <w:r w:rsidR="00C12FFC" w:rsidRPr="0001602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1602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gramEnd"/>
            <w:r w:rsidRPr="0001602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diferenciação da titulação acadêmica de pós-graduação </w:t>
            </w:r>
            <w:r w:rsidRPr="0001602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lato sensu </w:t>
            </w:r>
            <w:r w:rsidRPr="0001602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 do título de especialista profissional.</w:t>
            </w:r>
          </w:p>
          <w:p w14:paraId="45C470F8" w14:textId="77777777" w:rsidR="00250985" w:rsidRDefault="00250985" w:rsidP="007414B8">
            <w:pPr>
              <w:pStyle w:val="TextosemFormatao"/>
              <w:tabs>
                <w:tab w:val="left" w:pos="8364"/>
              </w:tabs>
            </w:pPr>
          </w:p>
        </w:tc>
      </w:tr>
    </w:tbl>
    <w:p w14:paraId="473823CE" w14:textId="77777777" w:rsidR="00B3438A" w:rsidRPr="00B3438A" w:rsidRDefault="00B3438A" w:rsidP="00FD7EC9">
      <w:pPr>
        <w:tabs>
          <w:tab w:val="left" w:pos="8364"/>
        </w:tabs>
      </w:pPr>
    </w:p>
    <w:sectPr w:rsidR="00B3438A" w:rsidRPr="00B3438A" w:rsidSect="00741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CF15" w14:textId="77777777" w:rsidR="00C12FFC" w:rsidRDefault="00C12FFC" w:rsidP="00B3438A">
      <w:r>
        <w:separator/>
      </w:r>
    </w:p>
  </w:endnote>
  <w:endnote w:type="continuationSeparator" w:id="0">
    <w:p w14:paraId="57E62F31" w14:textId="77777777" w:rsidR="00C12FFC" w:rsidRDefault="00C12FFC" w:rsidP="00B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F620D" w14:textId="77777777" w:rsidR="00C12FFC" w:rsidRDefault="00C12FFC" w:rsidP="00B3438A">
      <w:r>
        <w:separator/>
      </w:r>
    </w:p>
  </w:footnote>
  <w:footnote w:type="continuationSeparator" w:id="0">
    <w:p w14:paraId="7553B153" w14:textId="77777777" w:rsidR="00C12FFC" w:rsidRDefault="00C12FFC" w:rsidP="00B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A86"/>
    <w:multiLevelType w:val="hybridMultilevel"/>
    <w:tmpl w:val="34CE36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2602"/>
    <w:multiLevelType w:val="hybridMultilevel"/>
    <w:tmpl w:val="08283CDC"/>
    <w:lvl w:ilvl="0" w:tplc="0416000D">
      <w:start w:val="1"/>
      <w:numFmt w:val="bullet"/>
      <w:lvlText w:val=""/>
      <w:lvlJc w:val="left"/>
      <w:pPr>
        <w:ind w:left="10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">
    <w:nsid w:val="30207021"/>
    <w:multiLevelType w:val="hybridMultilevel"/>
    <w:tmpl w:val="A0066C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6FF4"/>
    <w:multiLevelType w:val="hybridMultilevel"/>
    <w:tmpl w:val="2B641F42"/>
    <w:lvl w:ilvl="0" w:tplc="641E6730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31801"/>
    <w:multiLevelType w:val="hybridMultilevel"/>
    <w:tmpl w:val="52A4B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A7FAB"/>
    <w:multiLevelType w:val="hybridMultilevel"/>
    <w:tmpl w:val="F872C9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E693A"/>
    <w:multiLevelType w:val="hybridMultilevel"/>
    <w:tmpl w:val="E1F61C7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7BB618C"/>
    <w:multiLevelType w:val="hybridMultilevel"/>
    <w:tmpl w:val="FC107E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7213F"/>
    <w:multiLevelType w:val="hybridMultilevel"/>
    <w:tmpl w:val="42C02E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547B3"/>
    <w:multiLevelType w:val="hybridMultilevel"/>
    <w:tmpl w:val="EE165864"/>
    <w:lvl w:ilvl="0" w:tplc="50D42460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74C5FBC"/>
    <w:multiLevelType w:val="hybridMultilevel"/>
    <w:tmpl w:val="16CABA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A"/>
    <w:rsid w:val="0001602A"/>
    <w:rsid w:val="00045ED2"/>
    <w:rsid w:val="0006177B"/>
    <w:rsid w:val="001068A6"/>
    <w:rsid w:val="0014434B"/>
    <w:rsid w:val="00180BCC"/>
    <w:rsid w:val="001C31F8"/>
    <w:rsid w:val="001F37F0"/>
    <w:rsid w:val="00250985"/>
    <w:rsid w:val="00272E3E"/>
    <w:rsid w:val="00276024"/>
    <w:rsid w:val="00277DEC"/>
    <w:rsid w:val="002A6312"/>
    <w:rsid w:val="002B08BA"/>
    <w:rsid w:val="002B46A5"/>
    <w:rsid w:val="002E33B4"/>
    <w:rsid w:val="003150A8"/>
    <w:rsid w:val="0032001E"/>
    <w:rsid w:val="00346281"/>
    <w:rsid w:val="004C0290"/>
    <w:rsid w:val="004C27B8"/>
    <w:rsid w:val="0052542B"/>
    <w:rsid w:val="005E17DB"/>
    <w:rsid w:val="00623BEC"/>
    <w:rsid w:val="00642DF3"/>
    <w:rsid w:val="006839CE"/>
    <w:rsid w:val="0069485A"/>
    <w:rsid w:val="006A5FAE"/>
    <w:rsid w:val="006B26AD"/>
    <w:rsid w:val="006E2614"/>
    <w:rsid w:val="007414B8"/>
    <w:rsid w:val="00855331"/>
    <w:rsid w:val="008747AE"/>
    <w:rsid w:val="008A1B26"/>
    <w:rsid w:val="008E723C"/>
    <w:rsid w:val="00937BA6"/>
    <w:rsid w:val="00954C14"/>
    <w:rsid w:val="009A3A5A"/>
    <w:rsid w:val="009D4510"/>
    <w:rsid w:val="00A23E50"/>
    <w:rsid w:val="00A867B7"/>
    <w:rsid w:val="00AA602E"/>
    <w:rsid w:val="00AA71FF"/>
    <w:rsid w:val="00B3438A"/>
    <w:rsid w:val="00BD2E13"/>
    <w:rsid w:val="00C12FFC"/>
    <w:rsid w:val="00CC1DEE"/>
    <w:rsid w:val="00D6590A"/>
    <w:rsid w:val="00D85B0F"/>
    <w:rsid w:val="00DE2F68"/>
    <w:rsid w:val="00E746A9"/>
    <w:rsid w:val="00F25C5A"/>
    <w:rsid w:val="00F45A59"/>
    <w:rsid w:val="00F57731"/>
    <w:rsid w:val="00F935F3"/>
    <w:rsid w:val="00FB1E54"/>
    <w:rsid w:val="00FD7EC9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7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41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41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5F14-1C67-4717-8005-CBC0395D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Tauil Osller Malagutti</dc:creator>
  <cp:lastModifiedBy>Mariana dos Reis Veras</cp:lastModifiedBy>
  <cp:revision>12</cp:revision>
  <cp:lastPrinted>2014-06-11T15:53:00Z</cp:lastPrinted>
  <dcterms:created xsi:type="dcterms:W3CDTF">2014-08-04T14:55:00Z</dcterms:created>
  <dcterms:modified xsi:type="dcterms:W3CDTF">2014-08-04T15:47:00Z</dcterms:modified>
</cp:coreProperties>
</file>